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ascii="Times New Roman" w:hAnsi="Times New Roman" w:cs="Times New Roman"/>
          <w:b/>
          <w:i/>
          <w:sz w:val="24"/>
          <w:szCs w:val="24"/>
        </w:rPr>
      </w:pPr>
      <w:r>
        <w:rPr>
          <w:rFonts w:hint="eastAsia" w:ascii="Times New Roman" w:hAnsi="Times New Roman" w:cs="Times New Roman"/>
          <w:b/>
          <w:iCs/>
          <w:sz w:val="24"/>
          <w:szCs w:val="24"/>
        </w:rPr>
        <w:t xml:space="preserve">3GPP TSG-RAN WG2 Meeting #126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ascii="Times New Roman" w:hAnsi="Times New Roman" w:cs="Times New Roman"/>
          <w:b/>
          <w:iCs/>
          <w:sz w:val="24"/>
          <w:szCs w:val="24"/>
        </w:rPr>
        <w:t>R2-2</w:t>
      </w:r>
      <w:r>
        <w:rPr>
          <w:rFonts w:hint="eastAsia" w:ascii="Times New Roman" w:hAnsi="Times New Roman" w:cs="Times New Roman"/>
          <w:b/>
          <w:iCs/>
          <w:sz w:val="24"/>
          <w:szCs w:val="24"/>
        </w:rPr>
        <w:t>405446</w:t>
      </w:r>
    </w:p>
    <w:p>
      <w:pPr>
        <w:outlineLvl w:val="0"/>
        <w:rPr>
          <w:rFonts w:ascii="Times New Roman" w:hAnsi="Times New Roman" w:cs="Times New Roman"/>
          <w:b/>
          <w:sz w:val="24"/>
          <w:szCs w:val="24"/>
        </w:rPr>
      </w:pPr>
      <w:r>
        <w:rPr>
          <w:rFonts w:ascii="Times New Roman" w:hAnsi="Times New Roman" w:cs="Times New Roman"/>
          <w:b/>
          <w:sz w:val="24"/>
          <w:szCs w:val="24"/>
        </w:rPr>
        <w:t>Fukuoka, Japan May 20th – 26th, 2024</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Solutions for DSR enhancement</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7.4</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ascii="Times New Roman" w:hAnsi="Times New Roman"/>
          <w:szCs w:val="28"/>
        </w:rPr>
        <w:t>Introduction</w:t>
      </w:r>
    </w:p>
    <w:p>
      <w:pPr>
        <w:spacing w:after="120" w:afterLines="50" w:line="360" w:lineRule="auto"/>
        <w:rPr>
          <w:rFonts w:ascii="Times New Roman" w:hAnsi="Times New Roman" w:cs="Times New Roman"/>
        </w:rPr>
      </w:pPr>
      <w:r>
        <w:rPr>
          <w:rFonts w:hint="eastAsia" w:ascii="Times New Roman" w:hAnsi="Times New Roman" w:cs="Times New Roman"/>
        </w:rPr>
        <w:t xml:space="preserve">In RAN2 #125bis meeting, we have discussed the LCP enhancement and reached the following agreements. </w:t>
      </w:r>
      <w:bookmarkStart w:id="0" w:name="_Toc54284460"/>
    </w:p>
    <w:tbl>
      <w:tblPr>
        <w:tblStyle w:val="23"/>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pStyle w:val="53"/>
              <w:tabs>
                <w:tab w:val="clear" w:pos="1619"/>
              </w:tabs>
              <w:ind w:left="420"/>
              <w:rPr>
                <w:rFonts w:ascii="Times New Roman" w:hAnsi="Times New Roman" w:cs="Times New Roman"/>
              </w:rPr>
            </w:pPr>
            <w:r>
              <w:rPr>
                <w:rFonts w:hint="eastAsia"/>
              </w:rP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pPr>
        <w:spacing w:before="120" w:beforeLines="50" w:after="120" w:afterLines="50" w:line="360" w:lineRule="auto"/>
        <w:rPr>
          <w:rFonts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contribution we </w:t>
      </w:r>
      <w:r>
        <w:rPr>
          <w:rFonts w:hint="eastAsia" w:ascii="Times New Roman" w:hAnsi="Times New Roman" w:cs="Times New Roman"/>
        </w:rPr>
        <w:t xml:space="preserve">will discuss how to enhance DSR with multiple pairs of remaining time/buffer information or more other information. </w:t>
      </w:r>
      <w:r>
        <w:rPr>
          <w:rFonts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Enhanced DSR with multiple pairs of remaining time/buffer information</w:t>
      </w:r>
    </w:p>
    <w:p>
      <w:pPr>
        <w:spacing w:before="120" w:beforeLines="50" w:after="120" w:afterLines="50" w:line="360" w:lineRule="auto"/>
        <w:rPr>
          <w:rFonts w:ascii="Times New Roman" w:hAnsi="Times New Roman" w:cs="Times New Roman"/>
        </w:rPr>
      </w:pPr>
      <w:r>
        <w:rPr>
          <w:rFonts w:hint="eastAsia" w:ascii="Times New Roman" w:hAnsi="Times New Roman" w:cs="Times New Roman"/>
        </w:rPr>
        <w:t>The existing BSR (Buffer Status Reporting) and DSR (Data Status Reporting) mechanisms are independent of each other; however, the content they report inevitably leads to conflicts and redundancies. Eliminating these conflicts and redundancies results in a relatively complex processing mechanism. For instance, when the buffer size reported by DSR is part of what is reported by BSR, it is necessary to update the BSR to remove the redundant parts; when DSR and BSR are completely identical, then it is required to cancel the BSR.</w:t>
      </w:r>
    </w:p>
    <w:p>
      <w:pPr>
        <w:spacing w:before="120" w:beforeLines="50" w:after="120" w:afterLines="50" w:line="360" w:lineRule="auto"/>
        <w:rPr>
          <w:rFonts w:ascii="Times New Roman" w:hAnsi="Times New Roman" w:cs="Times New Roman"/>
        </w:rPr>
      </w:pPr>
      <w:r>
        <w:rPr>
          <w:rFonts w:hint="eastAsia" w:ascii="Times New Roman" w:hAnsi="Times New Roman" w:cs="Times New Roman"/>
        </w:rPr>
        <w:t xml:space="preserve">If an LCG is configured to perform DSR, it is essential to enhance the reporting capability of DSR to minimize conflicts and redundancies with BSR as much as possible. Moreover, more detailed reporting information is helpful to assist the gNB in allocating resources more efficiently to transmit the corresponding data. Compared to DSR in Release 18, which only includes the buffer size corresponding to the minimum remaining time, a simple and direct enhancement approach is to report multiple pairs of remaining time and buffer information in DSR. To report multiple sets of remaining time and buffer information, we need to predefine a table regarding remaining time as the following example. Accordingly, the information reported by DSR consists of {Remaining time level, buffer size}. </w:t>
      </w:r>
    </w:p>
    <w:tbl>
      <w:tblPr>
        <w:tblStyle w:val="22"/>
        <w:tblW w:w="0" w:type="auto"/>
        <w:tblInd w:w="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6"/>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spacing w:before="120" w:beforeLines="50" w:after="120" w:afterLines="50"/>
              <w:rPr>
                <w:rFonts w:ascii="Times New Roman" w:hAnsi="Times New Roman" w:cs="Times New Roman"/>
              </w:rPr>
            </w:pPr>
            <w:r>
              <w:rPr>
                <w:rFonts w:hint="eastAsia" w:ascii="Times New Roman" w:hAnsi="Times New Roman" w:cs="Times New Roman"/>
              </w:rPr>
              <w:t>Remaining time level</w:t>
            </w:r>
          </w:p>
        </w:tc>
        <w:tc>
          <w:tcPr>
            <w:tcW w:w="5604" w:type="dxa"/>
          </w:tcPr>
          <w:p>
            <w:pPr>
              <w:spacing w:before="120" w:beforeLines="50" w:after="120" w:afterLines="50"/>
              <w:rPr>
                <w:rFonts w:ascii="Times New Roman" w:hAnsi="Times New Roman" w:cs="Times New Roman"/>
              </w:rPr>
            </w:pPr>
            <w:r>
              <w:rPr>
                <w:rFonts w:hint="eastAsia" w:ascii="Times New Roman" w:hAnsi="Times New Roman" w:cs="Times New Roman"/>
              </w:rPr>
              <w:t>Remaining time range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2436" w:type="dxa"/>
          </w:tcPr>
          <w:p>
            <w:pPr>
              <w:rPr>
                <w:rFonts w:ascii="Times New Roman" w:hAnsi="Times New Roman" w:cs="Times New Roman"/>
              </w:rPr>
            </w:pPr>
            <w:r>
              <w:rPr>
                <w:rFonts w:hint="eastAsia" w:ascii="Times New Roman" w:hAnsi="Times New Roman" w:cs="Times New Roman"/>
              </w:rPr>
              <w:t>1</w:t>
            </w:r>
          </w:p>
        </w:tc>
        <w:tc>
          <w:tcPr>
            <w:tcW w:w="5604" w:type="dxa"/>
          </w:tcPr>
          <w:p>
            <w:pPr>
              <w:rPr>
                <w:rFonts w:ascii="Times New Roman" w:hAnsi="Times New Roman" w:cs="Times New Roman"/>
              </w:rPr>
            </w:pPr>
            <w:r>
              <w:rPr>
                <w:rFonts w:hint="eastAsia" w:ascii="Times New Roman" w:hAnsi="Times New Roman" w:cs="Times New Roman"/>
              </w:rPr>
              <w:t>Remaining time &lt;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rPr>
                <w:rFonts w:ascii="Times New Roman" w:hAnsi="Times New Roman" w:cs="Times New Roman"/>
              </w:rPr>
            </w:pPr>
            <w:r>
              <w:rPr>
                <w:rFonts w:hint="eastAsia" w:ascii="Times New Roman" w:hAnsi="Times New Roman" w:cs="Times New Roman"/>
              </w:rPr>
              <w:t>2</w:t>
            </w:r>
          </w:p>
        </w:tc>
        <w:tc>
          <w:tcPr>
            <w:tcW w:w="5604" w:type="dxa"/>
          </w:tcPr>
          <w:p>
            <w:pPr>
              <w:rPr>
                <w:rFonts w:ascii="Times New Roman" w:hAnsi="Times New Roman" w:cs="Times New Roman"/>
              </w:rPr>
            </w:pPr>
            <w:r>
              <w:rPr>
                <w:rFonts w:hint="eastAsia" w:ascii="Times New Roman" w:hAnsi="Times New Roman" w:cs="Times New Roman"/>
              </w:rPr>
              <w:t>10 &lt; Remaining time &lt;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rPr>
                <w:rFonts w:ascii="Times New Roman" w:hAnsi="Times New Roman" w:cs="Times New Roman"/>
              </w:rPr>
            </w:pPr>
            <w:r>
              <w:rPr>
                <w:rFonts w:hint="eastAsia" w:ascii="Times New Roman" w:hAnsi="Times New Roman" w:cs="Times New Roman"/>
              </w:rPr>
              <w:t>3</w:t>
            </w:r>
          </w:p>
        </w:tc>
        <w:tc>
          <w:tcPr>
            <w:tcW w:w="5604" w:type="dxa"/>
          </w:tcPr>
          <w:p>
            <w:pPr>
              <w:rPr>
                <w:rFonts w:ascii="Times New Roman" w:hAnsi="Times New Roman" w:cs="Times New Roman"/>
              </w:rPr>
            </w:pPr>
            <w:r>
              <w:rPr>
                <w:rFonts w:hint="eastAsia" w:ascii="Times New Roman" w:hAnsi="Times New Roman" w:cs="Times New Roman"/>
              </w:rPr>
              <w:t>20 &lt; Remaining time &lt;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rPr>
                <w:rFonts w:ascii="Times New Roman" w:hAnsi="Times New Roman" w:cs="Times New Roman"/>
              </w:rPr>
            </w:pPr>
            <w:r>
              <w:rPr>
                <w:rFonts w:hint="eastAsia" w:ascii="Times New Roman" w:hAnsi="Times New Roman" w:cs="Times New Roman"/>
              </w:rPr>
              <w:t>4</w:t>
            </w:r>
          </w:p>
        </w:tc>
        <w:tc>
          <w:tcPr>
            <w:tcW w:w="5604" w:type="dxa"/>
          </w:tcPr>
          <w:p>
            <w:pPr>
              <w:rPr>
                <w:rFonts w:ascii="Times New Roman" w:hAnsi="Times New Roman" w:cs="Times New Roman"/>
              </w:rPr>
            </w:pPr>
            <w:r>
              <w:rPr>
                <w:rFonts w:hint="eastAsia" w:ascii="Times New Roman" w:hAnsi="Times New Roman" w:cs="Times New Roman"/>
              </w:rPr>
              <w:t>30 &lt; Remaining time &lt;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rPr>
                <w:rFonts w:ascii="Times New Roman" w:hAnsi="Times New Roman" w:cs="Times New Roman"/>
              </w:rPr>
            </w:pPr>
            <w:r>
              <w:rPr>
                <w:rFonts w:hint="eastAsia" w:ascii="Times New Roman" w:hAnsi="Times New Roman" w:cs="Times New Roman"/>
              </w:rPr>
              <w:t>5</w:t>
            </w:r>
          </w:p>
        </w:tc>
        <w:tc>
          <w:tcPr>
            <w:tcW w:w="5604" w:type="dxa"/>
          </w:tcPr>
          <w:p>
            <w:pPr>
              <w:rPr>
                <w:rFonts w:ascii="Times New Roman" w:hAnsi="Times New Roman" w:cs="Times New Roman"/>
              </w:rPr>
            </w:pPr>
            <w:r>
              <w:rPr>
                <w:rFonts w:hint="eastAsia" w:ascii="Times New Roman" w:hAnsi="Times New Roman" w:cs="Times New Roman"/>
              </w:rPr>
              <w:t>50 &lt; Remaining time &lt;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rPr>
                <w:rFonts w:ascii="Times New Roman" w:hAnsi="Times New Roman" w:cs="Times New Roman"/>
              </w:rPr>
            </w:pPr>
            <w:r>
              <w:rPr>
                <w:rFonts w:hint="eastAsia" w:ascii="Times New Roman" w:hAnsi="Times New Roman" w:cs="Times New Roman"/>
              </w:rPr>
              <w:t>...</w:t>
            </w:r>
          </w:p>
        </w:tc>
        <w:tc>
          <w:tcPr>
            <w:tcW w:w="5604" w:type="dxa"/>
          </w:tcPr>
          <w:p>
            <w:pP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rPr>
                <w:rFonts w:ascii="Times New Roman" w:hAnsi="Times New Roman" w:cs="Times New Roman"/>
              </w:rPr>
            </w:pPr>
            <w:r>
              <w:rPr>
                <w:rFonts w:hint="eastAsia" w:ascii="Times New Roman" w:hAnsi="Times New Roman" w:cs="Times New Roman"/>
              </w:rPr>
              <w:t>0 or a special value</w:t>
            </w:r>
          </w:p>
        </w:tc>
        <w:tc>
          <w:tcPr>
            <w:tcW w:w="5604" w:type="dxa"/>
          </w:tcPr>
          <w:p>
            <w:pPr>
              <w:rPr>
                <w:rFonts w:ascii="Times New Roman" w:hAnsi="Times New Roman" w:cs="Times New Roman"/>
              </w:rPr>
            </w:pPr>
            <w:r>
              <w:rPr>
                <w:rFonts w:hint="eastAsia" w:ascii="Times New Roman" w:hAnsi="Times New Roman" w:cs="Times New Roman"/>
              </w:rPr>
              <w:t>others</w:t>
            </w:r>
          </w:p>
        </w:tc>
      </w:tr>
    </w:tbl>
    <w:p>
      <w:pPr>
        <w:spacing w:before="120" w:beforeLines="50" w:after="120" w:afterLines="50" w:line="360" w:lineRule="auto"/>
      </w:pPr>
      <w:r>
        <w:rPr>
          <w:rFonts w:ascii="Times New Roman" w:hAnsi="Times New Roman" w:cs="Times New Roman"/>
        </w:rPr>
        <w:t xml:space="preserve">Specifically, DSR can report the entire buffer size with </w:t>
      </w:r>
      <w:r>
        <w:rPr>
          <w:rFonts w:hint="eastAsia" w:ascii="Times New Roman" w:hAnsi="Times New Roman" w:cs="Times New Roman"/>
        </w:rPr>
        <w:t>multiple pairs of remaining time and buffer information</w:t>
      </w:r>
      <w:r>
        <w:rPr>
          <w:rFonts w:ascii="Times New Roman" w:hAnsi="Times New Roman" w:cs="Times New Roman"/>
        </w:rPr>
        <w:t xml:space="preserve">, including all non-delay critical data through "others". Given that DSR encompasses the total buffer size information, to minimize conflicts and redundancies with BSR, if an LCG is configured for DSR reporting, that LCG can be set to completely cancel BSR reporting. Additionally, beyond the </w:t>
      </w:r>
      <w:r>
        <w:rPr>
          <w:rFonts w:hint="eastAsia" w:ascii="Times New Roman" w:hAnsi="Times New Roman" w:cs="Times New Roman"/>
        </w:rPr>
        <w:t>regular</w:t>
      </w:r>
      <w:r>
        <w:rPr>
          <w:rFonts w:ascii="Times New Roman" w:hAnsi="Times New Roman" w:cs="Times New Roman"/>
        </w:rPr>
        <w:t xml:space="preserve"> DSR based on remaining time, it is also possible to introduce periodic DSR, padding DSR, and some DSR triggering management mechanisms accordingly.</w:t>
      </w:r>
    </w:p>
    <w:p>
      <w:pPr>
        <w:spacing w:after="120" w:afterLines="50" w:line="360" w:lineRule="auto"/>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to </w:t>
      </w:r>
      <w:r>
        <w:rPr>
          <w:rFonts w:hint="eastAsia" w:ascii="Times New Roman" w:hAnsi="Times New Roman" w:cs="Times New Roman"/>
          <w:b/>
          <w:bCs/>
          <w:i/>
          <w:iCs/>
          <w:szCs w:val="21"/>
        </w:rPr>
        <w:t>enhance DSR with multiple pairs of remaining time and buffer size which could report the entire buffer size including non-delay critical data</w:t>
      </w:r>
      <w:r>
        <w:rPr>
          <w:rFonts w:ascii="Times New Roman" w:hAnsi="Times New Roman" w:cs="Times New Roman"/>
          <w:b/>
          <w:bCs/>
          <w:i/>
          <w:iCs/>
          <w:szCs w:val="21"/>
        </w:rPr>
        <w:t>.</w:t>
      </w:r>
    </w:p>
    <w:p>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rPr>
      </w:pPr>
      <w:r>
        <w:rPr>
          <w:rFonts w:hint="eastAsia" w:ascii="Times New Roman" w:hAnsi="Times New Roman" w:eastAsia="宋体" w:cs="Times New Roman"/>
          <w:sz w:val="24"/>
          <w:szCs w:val="24"/>
        </w:rPr>
        <w:t>Enhanced DSR with more information</w:t>
      </w:r>
    </w:p>
    <w:p>
      <w:pPr>
        <w:spacing w:before="120" w:beforeLines="50" w:after="120" w:afterLines="50" w:line="360" w:lineRule="auto"/>
        <w:rPr>
          <w:rFonts w:ascii="Times New Roman" w:hAnsi="Times New Roman" w:cs="Times New Roman"/>
        </w:rPr>
      </w:pPr>
      <w:r>
        <w:rPr>
          <w:rFonts w:hint="eastAsia" w:ascii="Times New Roman" w:hAnsi="Times New Roman" w:cs="Times New Roman"/>
        </w:rPr>
        <w:t>LCP is an essential mechanism on the UE side for further allocating resources based on logical channel priorities. Providing associated logical channel priority information for buffer size information in DSR would help the gNB  better allocate uplink resources. For example, in situations where uplink resources are limited, the gNB could allocate uplink resources based on rules similar to those in LCP, ensuring the timely transmission of SDUs with high priority and short remaining time. To report remaining time, logical channel priority, and buffer information, the structure of information reported by DSR needs to be enhanced to {Remaining time level, Priority, buffer size}.</w:t>
      </w:r>
    </w:p>
    <w:p>
      <w:pPr>
        <w:spacing w:before="120" w:beforeLines="50" w:after="120" w:afterLines="50" w:line="360" w:lineRule="auto"/>
        <w:rPr>
          <w:rFonts w:ascii="Times New Roman" w:hAnsi="Times New Roman" w:cs="Times New Roman"/>
        </w:rPr>
      </w:pPr>
      <w:r>
        <w:rPr>
          <w:rFonts w:hint="eastAsia" w:ascii="Times New Roman" w:hAnsi="Times New Roman" w:cs="Times New Roman"/>
        </w:rPr>
        <w:t xml:space="preserve">Further, </w:t>
      </w:r>
      <w:r>
        <w:rPr>
          <w:rFonts w:ascii="Times New Roman" w:hAnsi="Times New Roman" w:cs="Times New Roman"/>
        </w:rPr>
        <w:t>the</w:t>
      </w:r>
      <w:r>
        <w:rPr>
          <w:rFonts w:hint="eastAsia" w:ascii="Times New Roman" w:hAnsi="Times New Roman" w:cs="Times New Roman"/>
        </w:rPr>
        <w:t xml:space="preserve"> remaining time and logical channel priority information </w:t>
      </w:r>
      <w:r>
        <w:rPr>
          <w:rFonts w:ascii="Times New Roman" w:hAnsi="Times New Roman" w:cs="Times New Roman"/>
        </w:rPr>
        <w:t xml:space="preserve">could be combined </w:t>
      </w:r>
      <w:r>
        <w:rPr>
          <w:rFonts w:hint="eastAsia" w:ascii="Times New Roman" w:hAnsi="Times New Roman" w:cs="Times New Roman"/>
        </w:rPr>
        <w:t xml:space="preserve">as a form of Enhanced LCH prioritization </w:t>
      </w:r>
      <w:r>
        <w:rPr>
          <w:rFonts w:ascii="Times New Roman" w:hAnsi="Times New Roman" w:cs="Times New Roman"/>
        </w:rPr>
        <w:t xml:space="preserve">which </w:t>
      </w:r>
      <w:r>
        <w:rPr>
          <w:rFonts w:hint="eastAsia" w:ascii="Times New Roman" w:hAnsi="Times New Roman" w:cs="Times New Roman"/>
        </w:rPr>
        <w:t>could serve two purposes. On one hand, this Enhanced LCH prioritization could be utilized within LCP; on the other hand, Enhanced LCH prioritization and corresponding buffer size information could be reported in DSR. As an example, the Enhanced LCH prioritization in the table below combines the remaining time level and LCH priority</w:t>
      </w:r>
      <w:r>
        <w:rPr>
          <w:rFonts w:ascii="Times New Roman" w:hAnsi="Times New Roman" w:cs="Times New Roman"/>
        </w:rPr>
        <w:t xml:space="preserve"> to their sum</w:t>
      </w:r>
      <w:r>
        <w:rPr>
          <w:rFonts w:hint="eastAsia" w:ascii="Times New Roman" w:hAnsi="Times New Roman" w:cs="Times New Roman"/>
        </w:rPr>
        <w:t>, and in DSR, the structure of information reported needs to be enhanced to {Enhanced LCH prioritization, buffer size}.</w:t>
      </w:r>
    </w:p>
    <w:tbl>
      <w:tblPr>
        <w:tblStyle w:val="23"/>
        <w:tblW w:w="9139"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6"/>
        <w:gridCol w:w="1043"/>
        <w:gridCol w:w="1385"/>
        <w:gridCol w:w="2483"/>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tcPr>
          <w:p>
            <w:pPr>
              <w:spacing w:before="120" w:beforeLines="50"/>
              <w:rPr>
                <w:rFonts w:ascii="Arial" w:hAnsi="Arial" w:eastAsia="Arial" w:cs="Arial"/>
                <w:szCs w:val="21"/>
              </w:rPr>
            </w:pPr>
            <w:r>
              <w:rPr>
                <w:rFonts w:hint="eastAsia" w:ascii="Arial" w:hAnsi="Arial" w:cs="Arial"/>
                <w:szCs w:val="21"/>
              </w:rPr>
              <w:t>Remaining time level</w:t>
            </w:r>
          </w:p>
        </w:tc>
        <w:tc>
          <w:tcPr>
            <w:tcW w:w="1043" w:type="dxa"/>
          </w:tcPr>
          <w:p>
            <w:pPr>
              <w:spacing w:before="120" w:beforeLines="50"/>
              <w:jc w:val="left"/>
              <w:rPr>
                <w:rFonts w:ascii="Arial" w:hAnsi="Arial" w:cs="Arial"/>
                <w:szCs w:val="21"/>
              </w:rPr>
            </w:pPr>
            <w:r>
              <w:rPr>
                <w:rFonts w:hint="eastAsia" w:ascii="Arial" w:hAnsi="Arial" w:cs="Arial"/>
                <w:szCs w:val="21"/>
              </w:rPr>
              <w:t>LCH</w:t>
            </w:r>
          </w:p>
        </w:tc>
        <w:tc>
          <w:tcPr>
            <w:tcW w:w="1385" w:type="dxa"/>
          </w:tcPr>
          <w:p>
            <w:pPr>
              <w:spacing w:before="120" w:beforeLines="50"/>
              <w:jc w:val="left"/>
              <w:rPr>
                <w:rFonts w:ascii="Arial" w:hAnsi="Arial" w:cs="Arial"/>
                <w:szCs w:val="21"/>
              </w:rPr>
            </w:pPr>
            <w:r>
              <w:rPr>
                <w:rFonts w:hint="eastAsia" w:ascii="Arial" w:hAnsi="Arial" w:cs="Arial"/>
                <w:szCs w:val="21"/>
              </w:rPr>
              <w:t>LCH priority</w:t>
            </w:r>
          </w:p>
        </w:tc>
        <w:tc>
          <w:tcPr>
            <w:tcW w:w="2483" w:type="dxa"/>
            <w:shd w:val="clear" w:color="auto" w:fill="92D050"/>
          </w:tcPr>
          <w:p>
            <w:pPr>
              <w:spacing w:before="120" w:beforeLines="50"/>
              <w:jc w:val="left"/>
              <w:rPr>
                <w:rFonts w:ascii="Arial" w:hAnsi="Arial" w:eastAsia="Arial" w:cs="Arial"/>
                <w:szCs w:val="21"/>
              </w:rPr>
            </w:pPr>
            <w:r>
              <w:rPr>
                <w:rFonts w:hint="eastAsia" w:ascii="Arial" w:hAnsi="Arial" w:cs="Arial"/>
                <w:szCs w:val="21"/>
              </w:rPr>
              <w:t>Enhanced LCH priority</w:t>
            </w:r>
          </w:p>
        </w:tc>
        <w:tc>
          <w:tcPr>
            <w:tcW w:w="2022" w:type="dxa"/>
            <w:shd w:val="clear" w:color="auto" w:fill="92D050"/>
          </w:tcPr>
          <w:p>
            <w:pPr>
              <w:spacing w:before="120" w:beforeLines="50"/>
              <w:jc w:val="left"/>
              <w:rPr>
                <w:rFonts w:ascii="Arial" w:hAnsi="Arial" w:cs="Arial"/>
                <w:szCs w:val="21"/>
              </w:rPr>
            </w:pPr>
            <w:r>
              <w:rPr>
                <w:rFonts w:hint="eastAsia" w:ascii="Arial" w:hAnsi="Arial" w:cs="Arial"/>
                <w:szCs w:val="21"/>
              </w:rPr>
              <w:t>Buffer size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Merge w:val="restart"/>
          </w:tcPr>
          <w:p>
            <w:pPr>
              <w:spacing w:before="120" w:beforeLines="50"/>
              <w:jc w:val="center"/>
              <w:rPr>
                <w:rFonts w:ascii="Arial" w:hAnsi="Arial" w:eastAsia="Arial" w:cs="Arial"/>
                <w:szCs w:val="21"/>
              </w:rPr>
            </w:pPr>
            <w:r>
              <w:rPr>
                <w:rFonts w:hint="eastAsia" w:ascii="Arial" w:hAnsi="Arial" w:cs="Arial"/>
                <w:szCs w:val="21"/>
              </w:rPr>
              <w:t>1</w:t>
            </w:r>
          </w:p>
        </w:tc>
        <w:tc>
          <w:tcPr>
            <w:tcW w:w="1043" w:type="dxa"/>
          </w:tcPr>
          <w:p>
            <w:pPr>
              <w:spacing w:before="120" w:beforeLines="50"/>
              <w:jc w:val="center"/>
              <w:rPr>
                <w:rFonts w:ascii="Arial" w:hAnsi="Arial" w:cs="Arial"/>
                <w:szCs w:val="21"/>
              </w:rPr>
            </w:pPr>
            <w:r>
              <w:rPr>
                <w:rFonts w:hint="eastAsia" w:ascii="Arial" w:hAnsi="Arial" w:cs="Arial"/>
                <w:szCs w:val="21"/>
              </w:rPr>
              <w:t>LCH 1</w:t>
            </w:r>
          </w:p>
        </w:tc>
        <w:tc>
          <w:tcPr>
            <w:tcW w:w="1385" w:type="dxa"/>
          </w:tcPr>
          <w:p>
            <w:pPr>
              <w:spacing w:before="120" w:beforeLines="50"/>
              <w:jc w:val="center"/>
              <w:rPr>
                <w:rFonts w:ascii="Arial" w:hAnsi="Arial" w:cs="Arial"/>
                <w:szCs w:val="21"/>
              </w:rPr>
            </w:pPr>
            <w:r>
              <w:rPr>
                <w:rFonts w:hint="eastAsia" w:ascii="Arial" w:hAnsi="Arial" w:cs="Arial"/>
                <w:szCs w:val="21"/>
              </w:rPr>
              <w:t>1</w:t>
            </w:r>
          </w:p>
        </w:tc>
        <w:tc>
          <w:tcPr>
            <w:tcW w:w="2483" w:type="dxa"/>
            <w:shd w:val="clear" w:color="auto" w:fill="92D050"/>
          </w:tcPr>
          <w:p>
            <w:pPr>
              <w:spacing w:before="120" w:beforeLines="50"/>
              <w:jc w:val="center"/>
              <w:rPr>
                <w:rFonts w:ascii="Arial" w:hAnsi="Arial" w:eastAsia="Arial" w:cs="Arial"/>
                <w:szCs w:val="21"/>
              </w:rPr>
            </w:pPr>
            <w:r>
              <w:rPr>
                <w:rFonts w:hint="eastAsia" w:ascii="Arial" w:hAnsi="Arial" w:cs="Arial"/>
                <w:szCs w:val="21"/>
              </w:rPr>
              <w:t>2</w:t>
            </w:r>
          </w:p>
        </w:tc>
        <w:tc>
          <w:tcPr>
            <w:tcW w:w="2022" w:type="dxa"/>
            <w:shd w:val="clear" w:color="auto" w:fill="92D050"/>
          </w:tcPr>
          <w:p>
            <w:pPr>
              <w:spacing w:before="120" w:beforeLines="50"/>
              <w:jc w:val="center"/>
              <w:rPr>
                <w:rFonts w:ascii="Arial" w:hAnsi="Arial" w:cs="Arial"/>
                <w:szCs w:val="21"/>
              </w:rPr>
            </w:pPr>
            <w:r>
              <w:rPr>
                <w:rFonts w:hint="eastAsia" w:ascii="Arial" w:hAnsi="Arial" w:cs="Arial"/>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Merge w:val="continue"/>
          </w:tcPr>
          <w:p>
            <w:pPr>
              <w:spacing w:before="120" w:beforeLines="50"/>
              <w:jc w:val="center"/>
              <w:rPr>
                <w:rFonts w:ascii="Arial" w:hAnsi="Arial" w:eastAsia="Arial" w:cs="Arial"/>
                <w:szCs w:val="21"/>
              </w:rPr>
            </w:pPr>
          </w:p>
        </w:tc>
        <w:tc>
          <w:tcPr>
            <w:tcW w:w="1043" w:type="dxa"/>
          </w:tcPr>
          <w:p>
            <w:pPr>
              <w:spacing w:before="120" w:beforeLines="50"/>
              <w:jc w:val="center"/>
              <w:rPr>
                <w:rFonts w:ascii="Arial" w:hAnsi="Arial" w:eastAsia="Arial" w:cs="Arial"/>
                <w:szCs w:val="21"/>
              </w:rPr>
            </w:pPr>
            <w:r>
              <w:rPr>
                <w:rFonts w:hint="eastAsia" w:ascii="Arial" w:hAnsi="Arial" w:cs="Arial"/>
                <w:szCs w:val="21"/>
              </w:rPr>
              <w:t>LCH 2</w:t>
            </w:r>
          </w:p>
        </w:tc>
        <w:tc>
          <w:tcPr>
            <w:tcW w:w="1385" w:type="dxa"/>
          </w:tcPr>
          <w:p>
            <w:pPr>
              <w:spacing w:before="120" w:beforeLines="50"/>
              <w:jc w:val="center"/>
              <w:rPr>
                <w:rFonts w:ascii="Arial" w:hAnsi="Arial" w:cs="Arial"/>
                <w:szCs w:val="21"/>
              </w:rPr>
            </w:pPr>
            <w:r>
              <w:rPr>
                <w:rFonts w:hint="eastAsia" w:ascii="Arial" w:hAnsi="Arial" w:cs="Arial"/>
                <w:szCs w:val="21"/>
              </w:rPr>
              <w:t>3</w:t>
            </w:r>
          </w:p>
        </w:tc>
        <w:tc>
          <w:tcPr>
            <w:tcW w:w="2483" w:type="dxa"/>
            <w:shd w:val="clear" w:color="auto" w:fill="92D050"/>
          </w:tcPr>
          <w:p>
            <w:pPr>
              <w:spacing w:before="120" w:beforeLines="50"/>
              <w:jc w:val="center"/>
              <w:rPr>
                <w:rFonts w:ascii="Arial" w:hAnsi="Arial" w:eastAsia="Arial" w:cs="Arial"/>
                <w:szCs w:val="21"/>
              </w:rPr>
            </w:pPr>
            <w:r>
              <w:rPr>
                <w:rFonts w:hint="eastAsia" w:ascii="Arial" w:hAnsi="Arial" w:cs="Arial"/>
                <w:szCs w:val="21"/>
              </w:rPr>
              <w:t>4</w:t>
            </w:r>
          </w:p>
        </w:tc>
        <w:tc>
          <w:tcPr>
            <w:tcW w:w="2022" w:type="dxa"/>
            <w:shd w:val="clear" w:color="auto" w:fill="92D050"/>
          </w:tcPr>
          <w:p>
            <w:pPr>
              <w:spacing w:before="120" w:beforeLines="50"/>
              <w:jc w:val="center"/>
              <w:rPr>
                <w:rFonts w:ascii="Arial" w:hAnsi="Arial" w:cs="Arial"/>
                <w:szCs w:val="21"/>
              </w:rPr>
            </w:pPr>
            <w:r>
              <w:rPr>
                <w:rFonts w:hint="eastAsia" w:ascii="Arial" w:hAnsi="Arial" w:cs="Arial"/>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Merge w:val="restart"/>
          </w:tcPr>
          <w:p>
            <w:pPr>
              <w:spacing w:before="120" w:beforeLines="50"/>
              <w:jc w:val="center"/>
              <w:rPr>
                <w:rFonts w:ascii="Arial" w:hAnsi="Arial" w:eastAsia="Arial" w:cs="Arial"/>
                <w:szCs w:val="21"/>
              </w:rPr>
            </w:pPr>
            <w:r>
              <w:rPr>
                <w:rFonts w:hint="eastAsia" w:ascii="Arial" w:hAnsi="Arial" w:cs="Arial"/>
                <w:szCs w:val="21"/>
              </w:rPr>
              <w:t>2</w:t>
            </w:r>
          </w:p>
        </w:tc>
        <w:tc>
          <w:tcPr>
            <w:tcW w:w="1043" w:type="dxa"/>
          </w:tcPr>
          <w:p>
            <w:pPr>
              <w:spacing w:before="120" w:beforeLines="50"/>
              <w:jc w:val="center"/>
              <w:rPr>
                <w:rFonts w:ascii="Arial" w:hAnsi="Arial" w:eastAsia="Arial" w:cs="Arial"/>
                <w:szCs w:val="21"/>
              </w:rPr>
            </w:pPr>
            <w:r>
              <w:rPr>
                <w:rFonts w:hint="eastAsia" w:ascii="Arial" w:hAnsi="Arial" w:cs="Arial"/>
                <w:szCs w:val="21"/>
              </w:rPr>
              <w:t>LCH 1</w:t>
            </w:r>
          </w:p>
        </w:tc>
        <w:tc>
          <w:tcPr>
            <w:tcW w:w="1385" w:type="dxa"/>
          </w:tcPr>
          <w:p>
            <w:pPr>
              <w:spacing w:before="120" w:beforeLines="50"/>
              <w:jc w:val="center"/>
              <w:rPr>
                <w:rFonts w:ascii="Arial" w:hAnsi="Arial" w:eastAsia="Arial" w:cs="Arial"/>
                <w:szCs w:val="21"/>
              </w:rPr>
            </w:pPr>
            <w:bookmarkStart w:id="2" w:name="_GoBack"/>
            <w:bookmarkEnd w:id="2"/>
            <w:r>
              <w:rPr>
                <w:rFonts w:hint="eastAsia" w:ascii="Arial" w:hAnsi="Arial" w:cs="Arial"/>
                <w:szCs w:val="21"/>
              </w:rPr>
              <w:t>1</w:t>
            </w:r>
          </w:p>
        </w:tc>
        <w:tc>
          <w:tcPr>
            <w:tcW w:w="2483" w:type="dxa"/>
            <w:shd w:val="clear" w:color="auto" w:fill="92D050"/>
          </w:tcPr>
          <w:p>
            <w:pPr>
              <w:spacing w:before="120" w:beforeLines="50"/>
              <w:jc w:val="center"/>
              <w:rPr>
                <w:rFonts w:ascii="Arial" w:hAnsi="Arial" w:eastAsia="Arial" w:cs="Arial"/>
                <w:szCs w:val="21"/>
              </w:rPr>
            </w:pPr>
            <w:r>
              <w:rPr>
                <w:rFonts w:hint="eastAsia" w:ascii="Arial" w:hAnsi="Arial" w:cs="Arial"/>
                <w:szCs w:val="21"/>
              </w:rPr>
              <w:t>3</w:t>
            </w:r>
          </w:p>
        </w:tc>
        <w:tc>
          <w:tcPr>
            <w:tcW w:w="2022" w:type="dxa"/>
            <w:shd w:val="clear" w:color="auto" w:fill="92D050"/>
          </w:tcPr>
          <w:p>
            <w:pPr>
              <w:spacing w:before="120" w:beforeLines="50"/>
              <w:jc w:val="center"/>
              <w:rPr>
                <w:rFonts w:ascii="Arial" w:hAnsi="Arial" w:eastAsia="Arial" w:cs="Arial"/>
                <w:szCs w:val="21"/>
              </w:rPr>
            </w:pPr>
            <w:r>
              <w:rPr>
                <w:rFonts w:hint="eastAsia" w:ascii="Arial" w:hAnsi="Arial" w:cs="Arial"/>
                <w:szCs w:val="21"/>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Merge w:val="continue"/>
          </w:tcPr>
          <w:p>
            <w:pPr>
              <w:spacing w:before="120" w:beforeLines="50"/>
              <w:jc w:val="center"/>
              <w:rPr>
                <w:rFonts w:ascii="Arial" w:hAnsi="Arial" w:eastAsia="Arial" w:cs="Arial"/>
                <w:szCs w:val="21"/>
              </w:rPr>
            </w:pPr>
          </w:p>
        </w:tc>
        <w:tc>
          <w:tcPr>
            <w:tcW w:w="1043" w:type="dxa"/>
          </w:tcPr>
          <w:p>
            <w:pPr>
              <w:spacing w:before="120" w:beforeLines="50"/>
              <w:jc w:val="center"/>
              <w:rPr>
                <w:rFonts w:ascii="Arial" w:hAnsi="Arial" w:eastAsia="Arial" w:cs="Arial"/>
                <w:szCs w:val="21"/>
              </w:rPr>
            </w:pPr>
            <w:r>
              <w:rPr>
                <w:rFonts w:hint="eastAsia" w:ascii="Arial" w:hAnsi="Arial" w:cs="Arial"/>
                <w:szCs w:val="21"/>
              </w:rPr>
              <w:t>LCH 3</w:t>
            </w:r>
          </w:p>
        </w:tc>
        <w:tc>
          <w:tcPr>
            <w:tcW w:w="1385" w:type="dxa"/>
          </w:tcPr>
          <w:p>
            <w:pPr>
              <w:spacing w:before="120" w:beforeLines="50"/>
              <w:jc w:val="center"/>
              <w:rPr>
                <w:rFonts w:ascii="Arial" w:hAnsi="Arial" w:eastAsia="Arial" w:cs="Arial"/>
                <w:szCs w:val="21"/>
              </w:rPr>
            </w:pPr>
            <w:r>
              <w:rPr>
                <w:rFonts w:hint="eastAsia" w:ascii="Arial" w:hAnsi="Arial" w:cs="Arial"/>
                <w:szCs w:val="21"/>
              </w:rPr>
              <w:t>3</w:t>
            </w:r>
          </w:p>
        </w:tc>
        <w:tc>
          <w:tcPr>
            <w:tcW w:w="2483" w:type="dxa"/>
            <w:shd w:val="clear" w:color="auto" w:fill="92D050"/>
          </w:tcPr>
          <w:p>
            <w:pPr>
              <w:spacing w:before="120" w:beforeLines="50"/>
              <w:jc w:val="center"/>
              <w:rPr>
                <w:rFonts w:ascii="Arial" w:hAnsi="Arial" w:eastAsia="Arial" w:cs="Arial"/>
                <w:szCs w:val="21"/>
              </w:rPr>
            </w:pPr>
            <w:r>
              <w:rPr>
                <w:rFonts w:hint="eastAsia" w:ascii="Arial" w:hAnsi="Arial" w:cs="Arial"/>
                <w:szCs w:val="21"/>
              </w:rPr>
              <w:t>5</w:t>
            </w:r>
          </w:p>
        </w:tc>
        <w:tc>
          <w:tcPr>
            <w:tcW w:w="2022" w:type="dxa"/>
            <w:shd w:val="clear" w:color="auto" w:fill="92D050"/>
          </w:tcPr>
          <w:p>
            <w:pPr>
              <w:spacing w:before="120" w:beforeLines="50"/>
              <w:jc w:val="center"/>
              <w:rPr>
                <w:rFonts w:ascii="Arial" w:hAnsi="Arial" w:eastAsia="Arial" w:cs="Arial"/>
                <w:szCs w:val="21"/>
              </w:rPr>
            </w:pPr>
            <w:r>
              <w:rPr>
                <w:rFonts w:hint="eastAsia" w:ascii="Arial" w:hAnsi="Arial" w:cs="Arial"/>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vMerge w:val="continue"/>
          </w:tcPr>
          <w:p>
            <w:pPr>
              <w:spacing w:before="120" w:beforeLines="50"/>
              <w:jc w:val="center"/>
              <w:rPr>
                <w:rFonts w:ascii="Arial" w:hAnsi="Arial" w:eastAsia="Arial" w:cs="Arial"/>
                <w:szCs w:val="21"/>
              </w:rPr>
            </w:pPr>
          </w:p>
        </w:tc>
        <w:tc>
          <w:tcPr>
            <w:tcW w:w="1043" w:type="dxa"/>
          </w:tcPr>
          <w:p>
            <w:pPr>
              <w:spacing w:before="120" w:beforeLines="50"/>
              <w:jc w:val="center"/>
              <w:rPr>
                <w:rFonts w:ascii="Arial" w:hAnsi="Arial" w:eastAsia="Arial" w:cs="Arial"/>
                <w:szCs w:val="21"/>
              </w:rPr>
            </w:pPr>
            <w:r>
              <w:rPr>
                <w:rFonts w:hint="eastAsia" w:ascii="Arial" w:hAnsi="Arial" w:cs="Arial"/>
                <w:szCs w:val="21"/>
              </w:rPr>
              <w:t>LCH 4</w:t>
            </w:r>
          </w:p>
        </w:tc>
        <w:tc>
          <w:tcPr>
            <w:tcW w:w="1385" w:type="dxa"/>
          </w:tcPr>
          <w:p>
            <w:pPr>
              <w:spacing w:before="120" w:beforeLines="50"/>
              <w:jc w:val="center"/>
              <w:rPr>
                <w:rFonts w:ascii="Arial" w:hAnsi="Arial" w:eastAsia="Arial" w:cs="Arial"/>
                <w:szCs w:val="21"/>
              </w:rPr>
            </w:pPr>
            <w:r>
              <w:rPr>
                <w:rFonts w:hint="eastAsia" w:ascii="Arial" w:hAnsi="Arial" w:cs="Arial"/>
                <w:szCs w:val="21"/>
              </w:rPr>
              <w:t>4</w:t>
            </w:r>
          </w:p>
        </w:tc>
        <w:tc>
          <w:tcPr>
            <w:tcW w:w="2483" w:type="dxa"/>
            <w:shd w:val="clear" w:color="auto" w:fill="92D050"/>
          </w:tcPr>
          <w:p>
            <w:pPr>
              <w:spacing w:before="120" w:beforeLines="50"/>
              <w:jc w:val="center"/>
              <w:rPr>
                <w:rFonts w:ascii="Arial" w:hAnsi="Arial" w:eastAsia="Arial" w:cs="Arial"/>
                <w:szCs w:val="21"/>
              </w:rPr>
            </w:pPr>
            <w:r>
              <w:rPr>
                <w:rFonts w:hint="eastAsia" w:ascii="Arial" w:hAnsi="Arial" w:cs="Arial"/>
                <w:szCs w:val="21"/>
              </w:rPr>
              <w:t>6</w:t>
            </w:r>
          </w:p>
        </w:tc>
        <w:tc>
          <w:tcPr>
            <w:tcW w:w="2022" w:type="dxa"/>
            <w:shd w:val="clear" w:color="auto" w:fill="92D050"/>
          </w:tcPr>
          <w:p>
            <w:pPr>
              <w:spacing w:before="120" w:beforeLines="50"/>
              <w:jc w:val="center"/>
              <w:rPr>
                <w:rFonts w:ascii="Arial" w:hAnsi="Arial" w:eastAsia="Arial" w:cs="Arial"/>
                <w:szCs w:val="21"/>
              </w:rPr>
            </w:pPr>
            <w:r>
              <w:rPr>
                <w:rFonts w:hint="eastAsia" w:ascii="Arial" w:hAnsi="Arial" w:cs="Arial"/>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tcPr>
          <w:p>
            <w:pPr>
              <w:spacing w:before="120" w:beforeLines="50"/>
              <w:jc w:val="center"/>
              <w:rPr>
                <w:rFonts w:ascii="Arial" w:hAnsi="Arial" w:eastAsia="Arial" w:cs="Arial"/>
                <w:szCs w:val="21"/>
              </w:rPr>
            </w:pPr>
            <w:r>
              <w:rPr>
                <w:rFonts w:hint="eastAsia" w:ascii="Arial" w:hAnsi="Arial" w:cs="Arial"/>
                <w:szCs w:val="21"/>
              </w:rPr>
              <w:t>3</w:t>
            </w:r>
          </w:p>
        </w:tc>
        <w:tc>
          <w:tcPr>
            <w:tcW w:w="1043" w:type="dxa"/>
          </w:tcPr>
          <w:p>
            <w:pPr>
              <w:spacing w:before="120" w:beforeLines="50"/>
              <w:jc w:val="center"/>
              <w:rPr>
                <w:rFonts w:hint="eastAsia" w:ascii="Arial" w:hAnsi="Arial" w:cs="Arial" w:eastAsiaTheme="minorEastAsia"/>
                <w:szCs w:val="21"/>
                <w:lang w:eastAsia="zh-CN"/>
              </w:rPr>
            </w:pPr>
            <w:r>
              <w:rPr>
                <w:rFonts w:hint="eastAsia" w:ascii="Arial" w:hAnsi="Arial" w:cs="Arial"/>
                <w:szCs w:val="21"/>
              </w:rPr>
              <w:t xml:space="preserve">LCH </w:t>
            </w:r>
            <w:r>
              <w:rPr>
                <w:rFonts w:hint="eastAsia" w:ascii="Arial" w:hAnsi="Arial" w:cs="Arial"/>
                <w:szCs w:val="21"/>
                <w:lang w:val="en-US" w:eastAsia="zh-CN"/>
              </w:rPr>
              <w:t>4</w:t>
            </w:r>
          </w:p>
        </w:tc>
        <w:tc>
          <w:tcPr>
            <w:tcW w:w="1385" w:type="dxa"/>
          </w:tcPr>
          <w:p>
            <w:pPr>
              <w:spacing w:before="120" w:beforeLines="50"/>
              <w:jc w:val="center"/>
              <w:rPr>
                <w:rFonts w:ascii="Arial" w:hAnsi="Arial" w:eastAsia="Arial" w:cs="Arial"/>
                <w:szCs w:val="21"/>
              </w:rPr>
            </w:pPr>
            <w:r>
              <w:rPr>
                <w:rFonts w:hint="eastAsia" w:ascii="Arial" w:hAnsi="Arial" w:cs="Arial"/>
                <w:szCs w:val="21"/>
              </w:rPr>
              <w:t>4</w:t>
            </w:r>
          </w:p>
        </w:tc>
        <w:tc>
          <w:tcPr>
            <w:tcW w:w="2483" w:type="dxa"/>
            <w:shd w:val="clear" w:color="auto" w:fill="92D050"/>
          </w:tcPr>
          <w:p>
            <w:pPr>
              <w:spacing w:before="120" w:beforeLines="50"/>
              <w:jc w:val="center"/>
              <w:rPr>
                <w:rFonts w:ascii="Arial" w:hAnsi="Arial" w:eastAsia="Arial" w:cs="Arial"/>
                <w:szCs w:val="21"/>
              </w:rPr>
            </w:pPr>
            <w:r>
              <w:rPr>
                <w:rFonts w:hint="eastAsia" w:ascii="Arial" w:hAnsi="Arial" w:cs="Arial"/>
                <w:szCs w:val="21"/>
              </w:rPr>
              <w:t>7</w:t>
            </w:r>
          </w:p>
        </w:tc>
        <w:tc>
          <w:tcPr>
            <w:tcW w:w="2022" w:type="dxa"/>
            <w:shd w:val="clear" w:color="auto" w:fill="92D050"/>
          </w:tcPr>
          <w:p>
            <w:pPr>
              <w:spacing w:before="120" w:beforeLines="50"/>
              <w:jc w:val="center"/>
              <w:rPr>
                <w:rFonts w:ascii="Arial" w:hAnsi="Arial" w:eastAsia="Arial" w:cs="Arial"/>
                <w:szCs w:val="21"/>
              </w:rPr>
            </w:pPr>
            <w:r>
              <w:rPr>
                <w:rFonts w:hint="eastAsia" w:ascii="Arial" w:hAnsi="Arial" w:cs="Arial"/>
                <w:szCs w:val="21"/>
              </w:rPr>
              <w:t>80</w:t>
            </w:r>
          </w:p>
        </w:tc>
      </w:tr>
    </w:tbl>
    <w:p>
      <w:pPr>
        <w:spacing w:before="120" w:beforeLines="50" w:after="120" w:afterLines="50" w:line="360" w:lineRule="auto"/>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to </w:t>
      </w:r>
      <w:r>
        <w:rPr>
          <w:rFonts w:hint="eastAsia" w:ascii="Times New Roman" w:hAnsi="Times New Roman" w:cs="Times New Roman"/>
          <w:b/>
          <w:bCs/>
          <w:i/>
          <w:iCs/>
          <w:szCs w:val="21"/>
        </w:rPr>
        <w:t xml:space="preserve">enhance the DSR with logical channel priority and remaining time information which can be </w:t>
      </w:r>
      <w:r>
        <w:rPr>
          <w:rFonts w:ascii="Times New Roman" w:hAnsi="Times New Roman" w:cs="Times New Roman"/>
          <w:b/>
          <w:bCs/>
          <w:i/>
          <w:iCs/>
          <w:szCs w:val="21"/>
        </w:rPr>
        <w:t xml:space="preserve">further </w:t>
      </w:r>
      <w:r>
        <w:rPr>
          <w:rFonts w:hint="eastAsia" w:ascii="Times New Roman" w:hAnsi="Times New Roman" w:cs="Times New Roman"/>
          <w:b/>
          <w:bCs/>
          <w:i/>
          <w:iCs/>
          <w:szCs w:val="21"/>
        </w:rPr>
        <w:t>combined as enhanced LCH priority</w:t>
      </w:r>
      <w:r>
        <w:rPr>
          <w:rFonts w:ascii="Times New Roman" w:hAnsi="Times New Roman" w:cs="Times New Roman"/>
          <w:b/>
          <w:bCs/>
          <w:i/>
          <w:iCs/>
          <w:szCs w:val="21"/>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rPr>
        <w:t xml:space="preserve">the DSR enhancement for XR service </w:t>
      </w:r>
      <w:r>
        <w:rPr>
          <w:rFonts w:hint="eastAsia" w:ascii="Times New Roman" w:hAnsi="Times New Roman" w:cs="Times New Roman"/>
          <w:szCs w:val="21"/>
        </w:rPr>
        <w:t>and provided our proposals as follows:</w:t>
      </w:r>
    </w:p>
    <w:p>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to </w:t>
      </w:r>
      <w:r>
        <w:rPr>
          <w:rFonts w:hint="eastAsia" w:ascii="Times New Roman" w:hAnsi="Times New Roman" w:cs="Times New Roman"/>
          <w:b/>
          <w:bCs/>
          <w:i/>
          <w:iCs/>
          <w:szCs w:val="21"/>
        </w:rPr>
        <w:t>enhance DSR with multiple pairs of remaining time and buffer size which could report the entire buffer size including non-delay critical data</w:t>
      </w:r>
      <w:r>
        <w:rPr>
          <w:rFonts w:ascii="Times New Roman" w:hAnsi="Times New Roman" w:cs="Times New Roman"/>
          <w:b/>
          <w:bCs/>
          <w:i/>
          <w:iCs/>
          <w:szCs w:val="21"/>
        </w:rPr>
        <w:t>.</w:t>
      </w:r>
    </w:p>
    <w:p>
      <w:pPr>
        <w:spacing w:after="120" w:afterLines="50"/>
        <w:rPr>
          <w:rFonts w:ascii="Times New Roman" w:hAnsi="Times New Roman" w:cs="Times New Roman"/>
          <w:b/>
          <w:bCs/>
          <w:i/>
          <w:iCs/>
          <w:szCs w:val="21"/>
        </w:rPr>
      </w:pPr>
      <w:r>
        <w:rPr>
          <w:rFonts w:ascii="Times New Roman" w:hAnsi="Times New Roman" w:cs="Times New Roman"/>
          <w:b/>
          <w:bCs/>
          <w:i/>
          <w:iCs/>
          <w:szCs w:val="21"/>
        </w:rPr>
        <w:t>Proposal</w:t>
      </w:r>
      <w:r>
        <w:rPr>
          <w:rFonts w:hint="eastAsia" w:ascii="Times New Roman" w:hAnsi="Times New Roman" w:cs="Times New Roman"/>
          <w:b/>
          <w:bCs/>
          <w:i/>
          <w:iCs/>
          <w:szCs w:val="21"/>
        </w:rPr>
        <w:t xml:space="preserve"> 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It is suggested to </w:t>
      </w:r>
      <w:r>
        <w:rPr>
          <w:rFonts w:hint="eastAsia" w:ascii="Times New Roman" w:hAnsi="Times New Roman" w:cs="Times New Roman"/>
          <w:b/>
          <w:bCs/>
          <w:i/>
          <w:iCs/>
          <w:szCs w:val="21"/>
        </w:rPr>
        <w:t xml:space="preserve">enhance the DSR with logical channel priority and remaining time information which can be </w:t>
      </w:r>
      <w:r>
        <w:rPr>
          <w:rFonts w:ascii="Times New Roman" w:hAnsi="Times New Roman" w:cs="Times New Roman"/>
          <w:b/>
          <w:bCs/>
          <w:i/>
          <w:iCs/>
          <w:szCs w:val="21"/>
        </w:rPr>
        <w:t xml:space="preserve">further </w:t>
      </w:r>
      <w:r>
        <w:rPr>
          <w:rFonts w:hint="eastAsia" w:ascii="Times New Roman" w:hAnsi="Times New Roman" w:cs="Times New Roman"/>
          <w:b/>
          <w:bCs/>
          <w:i/>
          <w:iCs/>
          <w:szCs w:val="21"/>
        </w:rPr>
        <w:t>combined as enhanced LCH priority</w:t>
      </w:r>
      <w:r>
        <w:rPr>
          <w:rFonts w:ascii="Times New Roman" w:hAnsi="Times New Roman" w:cs="Times New Roman"/>
          <w:b/>
          <w:bCs/>
          <w:i/>
          <w:iCs/>
          <w:szCs w:val="21"/>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rPr>
        <w:t xml:space="preserve">RP-234057: </w:t>
      </w:r>
      <w:r>
        <w:rPr>
          <w:rFonts w:ascii="Times New Roman" w:hAnsi="Times New Roman" w:cs="Times New Roman"/>
        </w:rPr>
        <w:t>"New WID: XR (eXtended Reality) for NR Phase 3".</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31B72"/>
    <w:rsid w:val="00172A27"/>
    <w:rsid w:val="001D2C3E"/>
    <w:rsid w:val="002F2773"/>
    <w:rsid w:val="00327893"/>
    <w:rsid w:val="00455276"/>
    <w:rsid w:val="00526E9D"/>
    <w:rsid w:val="005C34E1"/>
    <w:rsid w:val="00680B0A"/>
    <w:rsid w:val="007109E6"/>
    <w:rsid w:val="00747CF4"/>
    <w:rsid w:val="007E2DA4"/>
    <w:rsid w:val="00801DCF"/>
    <w:rsid w:val="00872B5B"/>
    <w:rsid w:val="008B1CC1"/>
    <w:rsid w:val="009B4084"/>
    <w:rsid w:val="00AD5960"/>
    <w:rsid w:val="00B36A82"/>
    <w:rsid w:val="00BE19BF"/>
    <w:rsid w:val="00BF38AA"/>
    <w:rsid w:val="00C70576"/>
    <w:rsid w:val="00D02949"/>
    <w:rsid w:val="00DF649C"/>
    <w:rsid w:val="00EA6ADF"/>
    <w:rsid w:val="00F929A3"/>
    <w:rsid w:val="00FC66A5"/>
    <w:rsid w:val="010E1D4D"/>
    <w:rsid w:val="01330893"/>
    <w:rsid w:val="01B12E58"/>
    <w:rsid w:val="01C371DA"/>
    <w:rsid w:val="020411DA"/>
    <w:rsid w:val="031B28AD"/>
    <w:rsid w:val="034877EC"/>
    <w:rsid w:val="034E4A60"/>
    <w:rsid w:val="03DD6AF5"/>
    <w:rsid w:val="047162D4"/>
    <w:rsid w:val="04BD145A"/>
    <w:rsid w:val="055E50A5"/>
    <w:rsid w:val="0568310D"/>
    <w:rsid w:val="05756793"/>
    <w:rsid w:val="05A47ACE"/>
    <w:rsid w:val="05BB24F7"/>
    <w:rsid w:val="05D76C05"/>
    <w:rsid w:val="06897EFF"/>
    <w:rsid w:val="072D40F1"/>
    <w:rsid w:val="074D2750"/>
    <w:rsid w:val="07522471"/>
    <w:rsid w:val="07FE2B1F"/>
    <w:rsid w:val="08FC1348"/>
    <w:rsid w:val="092A7ACA"/>
    <w:rsid w:val="09452F63"/>
    <w:rsid w:val="09680EB8"/>
    <w:rsid w:val="09ED2CA5"/>
    <w:rsid w:val="0A481A1C"/>
    <w:rsid w:val="0AE314B1"/>
    <w:rsid w:val="0B9C06D5"/>
    <w:rsid w:val="0BB62E8D"/>
    <w:rsid w:val="0C110567"/>
    <w:rsid w:val="0C397531"/>
    <w:rsid w:val="0C470E4F"/>
    <w:rsid w:val="0C812E6D"/>
    <w:rsid w:val="0C9E047D"/>
    <w:rsid w:val="0D733868"/>
    <w:rsid w:val="0D9546F5"/>
    <w:rsid w:val="0DD51C7C"/>
    <w:rsid w:val="0DD65942"/>
    <w:rsid w:val="0DF57134"/>
    <w:rsid w:val="0E4A6F14"/>
    <w:rsid w:val="0E762255"/>
    <w:rsid w:val="0ED3362B"/>
    <w:rsid w:val="0EF50B08"/>
    <w:rsid w:val="0F672DA8"/>
    <w:rsid w:val="0F723A91"/>
    <w:rsid w:val="10E32902"/>
    <w:rsid w:val="1109680C"/>
    <w:rsid w:val="118934A9"/>
    <w:rsid w:val="11DF6823"/>
    <w:rsid w:val="121758CF"/>
    <w:rsid w:val="130D0D24"/>
    <w:rsid w:val="13826402"/>
    <w:rsid w:val="13A42136"/>
    <w:rsid w:val="13A520F1"/>
    <w:rsid w:val="14C710A8"/>
    <w:rsid w:val="14CD7B51"/>
    <w:rsid w:val="150B58AE"/>
    <w:rsid w:val="160067D9"/>
    <w:rsid w:val="160846A5"/>
    <w:rsid w:val="16161084"/>
    <w:rsid w:val="161A4308"/>
    <w:rsid w:val="163254BE"/>
    <w:rsid w:val="16D13B64"/>
    <w:rsid w:val="17FC2567"/>
    <w:rsid w:val="188B110E"/>
    <w:rsid w:val="18910936"/>
    <w:rsid w:val="18B03A11"/>
    <w:rsid w:val="18C221F9"/>
    <w:rsid w:val="18CD08A1"/>
    <w:rsid w:val="19014CAF"/>
    <w:rsid w:val="193D7353"/>
    <w:rsid w:val="197462BA"/>
    <w:rsid w:val="199F6F5F"/>
    <w:rsid w:val="19AE61A3"/>
    <w:rsid w:val="1A28231A"/>
    <w:rsid w:val="1A4E237A"/>
    <w:rsid w:val="1C9A2F02"/>
    <w:rsid w:val="1CC76BF5"/>
    <w:rsid w:val="1CDB4C0A"/>
    <w:rsid w:val="1CE43C8A"/>
    <w:rsid w:val="1E1A2095"/>
    <w:rsid w:val="1E2E78B2"/>
    <w:rsid w:val="1E48054C"/>
    <w:rsid w:val="1E4C42FA"/>
    <w:rsid w:val="1F4F5F36"/>
    <w:rsid w:val="1F606D74"/>
    <w:rsid w:val="1F833B28"/>
    <w:rsid w:val="1FB262C1"/>
    <w:rsid w:val="20085EE1"/>
    <w:rsid w:val="205F59D0"/>
    <w:rsid w:val="20931D81"/>
    <w:rsid w:val="20E24984"/>
    <w:rsid w:val="219805DB"/>
    <w:rsid w:val="21AE2EDA"/>
    <w:rsid w:val="224551CB"/>
    <w:rsid w:val="227C4964"/>
    <w:rsid w:val="229C5AE9"/>
    <w:rsid w:val="23046E34"/>
    <w:rsid w:val="246622C5"/>
    <w:rsid w:val="250F386E"/>
    <w:rsid w:val="25D60CFE"/>
    <w:rsid w:val="260F1B38"/>
    <w:rsid w:val="261B4D32"/>
    <w:rsid w:val="26777D2F"/>
    <w:rsid w:val="26FF2956"/>
    <w:rsid w:val="271E1505"/>
    <w:rsid w:val="273F3B6A"/>
    <w:rsid w:val="274E0EEF"/>
    <w:rsid w:val="27FC2BB9"/>
    <w:rsid w:val="291805BC"/>
    <w:rsid w:val="2944442E"/>
    <w:rsid w:val="294F692F"/>
    <w:rsid w:val="29B34A3B"/>
    <w:rsid w:val="2A8645D2"/>
    <w:rsid w:val="2AF479DB"/>
    <w:rsid w:val="2B017AE4"/>
    <w:rsid w:val="2B1E480B"/>
    <w:rsid w:val="2B5B780D"/>
    <w:rsid w:val="2B7D2D2D"/>
    <w:rsid w:val="2BD42BB5"/>
    <w:rsid w:val="2BE37795"/>
    <w:rsid w:val="2C7F5656"/>
    <w:rsid w:val="2D804734"/>
    <w:rsid w:val="2FA71273"/>
    <w:rsid w:val="2FCD67FF"/>
    <w:rsid w:val="303B772F"/>
    <w:rsid w:val="31696757"/>
    <w:rsid w:val="31DE1D58"/>
    <w:rsid w:val="321F68F6"/>
    <w:rsid w:val="32741B27"/>
    <w:rsid w:val="32B819E9"/>
    <w:rsid w:val="331210F9"/>
    <w:rsid w:val="33185FE3"/>
    <w:rsid w:val="331B468F"/>
    <w:rsid w:val="334F5FA3"/>
    <w:rsid w:val="335229B5"/>
    <w:rsid w:val="33B8055B"/>
    <w:rsid w:val="34F9242A"/>
    <w:rsid w:val="351752FE"/>
    <w:rsid w:val="353A3B9A"/>
    <w:rsid w:val="353D648E"/>
    <w:rsid w:val="35584DBD"/>
    <w:rsid w:val="35834C4F"/>
    <w:rsid w:val="35B5220F"/>
    <w:rsid w:val="35F033B2"/>
    <w:rsid w:val="365F25F1"/>
    <w:rsid w:val="367B459C"/>
    <w:rsid w:val="36B02E3E"/>
    <w:rsid w:val="37871C5F"/>
    <w:rsid w:val="37DF5322"/>
    <w:rsid w:val="38C14F85"/>
    <w:rsid w:val="38D95C84"/>
    <w:rsid w:val="395152B1"/>
    <w:rsid w:val="39C7397A"/>
    <w:rsid w:val="39C922D2"/>
    <w:rsid w:val="3A0E3D7F"/>
    <w:rsid w:val="3A1B148B"/>
    <w:rsid w:val="3AC96BFA"/>
    <w:rsid w:val="3B0B0E31"/>
    <w:rsid w:val="3BA42B0A"/>
    <w:rsid w:val="3C5E1386"/>
    <w:rsid w:val="3C6A376B"/>
    <w:rsid w:val="3CAD3871"/>
    <w:rsid w:val="3D0E6612"/>
    <w:rsid w:val="3D794C69"/>
    <w:rsid w:val="3DFB17D5"/>
    <w:rsid w:val="3E4459B8"/>
    <w:rsid w:val="3EED0255"/>
    <w:rsid w:val="3F6658E6"/>
    <w:rsid w:val="3F6F6A24"/>
    <w:rsid w:val="40E57C57"/>
    <w:rsid w:val="40FE523C"/>
    <w:rsid w:val="410C5707"/>
    <w:rsid w:val="42A539CE"/>
    <w:rsid w:val="434D4C01"/>
    <w:rsid w:val="435C04A2"/>
    <w:rsid w:val="43E11412"/>
    <w:rsid w:val="43FC748C"/>
    <w:rsid w:val="440525B4"/>
    <w:rsid w:val="44093E52"/>
    <w:rsid w:val="446F1C68"/>
    <w:rsid w:val="45264590"/>
    <w:rsid w:val="45961716"/>
    <w:rsid w:val="45A35BE1"/>
    <w:rsid w:val="460F14C8"/>
    <w:rsid w:val="46C61D41"/>
    <w:rsid w:val="471748B1"/>
    <w:rsid w:val="477E6B3A"/>
    <w:rsid w:val="47B42CE1"/>
    <w:rsid w:val="48053ACE"/>
    <w:rsid w:val="48147269"/>
    <w:rsid w:val="48517B76"/>
    <w:rsid w:val="487E765D"/>
    <w:rsid w:val="492522E2"/>
    <w:rsid w:val="49380D36"/>
    <w:rsid w:val="49CE695A"/>
    <w:rsid w:val="4AF131EF"/>
    <w:rsid w:val="4B407715"/>
    <w:rsid w:val="4BBB7216"/>
    <w:rsid w:val="4C6A7458"/>
    <w:rsid w:val="4C813C70"/>
    <w:rsid w:val="4CEE1E37"/>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F103B2"/>
    <w:rsid w:val="520C50B4"/>
    <w:rsid w:val="53185506"/>
    <w:rsid w:val="54A24E32"/>
    <w:rsid w:val="561B7217"/>
    <w:rsid w:val="572629E8"/>
    <w:rsid w:val="575C092A"/>
    <w:rsid w:val="578C2978"/>
    <w:rsid w:val="57DD1426"/>
    <w:rsid w:val="580E348F"/>
    <w:rsid w:val="5877685D"/>
    <w:rsid w:val="589A1FD6"/>
    <w:rsid w:val="59975605"/>
    <w:rsid w:val="59AA78C5"/>
    <w:rsid w:val="59C3464B"/>
    <w:rsid w:val="59FD045D"/>
    <w:rsid w:val="5A177BA2"/>
    <w:rsid w:val="5A1F15C9"/>
    <w:rsid w:val="5A6F20DD"/>
    <w:rsid w:val="5B404577"/>
    <w:rsid w:val="5B73375B"/>
    <w:rsid w:val="5C1E4010"/>
    <w:rsid w:val="5CBB16CF"/>
    <w:rsid w:val="5CC46711"/>
    <w:rsid w:val="5D105DFA"/>
    <w:rsid w:val="5D4930BA"/>
    <w:rsid w:val="5DF57F28"/>
    <w:rsid w:val="5E24773B"/>
    <w:rsid w:val="5E3B3C08"/>
    <w:rsid w:val="5EEA61D6"/>
    <w:rsid w:val="5EEC63F2"/>
    <w:rsid w:val="5EF01530"/>
    <w:rsid w:val="5FA041B9"/>
    <w:rsid w:val="5FBE4D46"/>
    <w:rsid w:val="611963CD"/>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83A590B"/>
    <w:rsid w:val="685376AF"/>
    <w:rsid w:val="68F57755"/>
    <w:rsid w:val="695F47F3"/>
    <w:rsid w:val="696A6892"/>
    <w:rsid w:val="696B1111"/>
    <w:rsid w:val="69CA7330"/>
    <w:rsid w:val="6A3B5FBD"/>
    <w:rsid w:val="6A497336"/>
    <w:rsid w:val="6B3C6A30"/>
    <w:rsid w:val="6B8F25DF"/>
    <w:rsid w:val="6CB06CB1"/>
    <w:rsid w:val="6CEB5ACA"/>
    <w:rsid w:val="6E6C7C05"/>
    <w:rsid w:val="6F2B2544"/>
    <w:rsid w:val="6F4060E9"/>
    <w:rsid w:val="70A04FBC"/>
    <w:rsid w:val="72041505"/>
    <w:rsid w:val="72A863A1"/>
    <w:rsid w:val="740946D6"/>
    <w:rsid w:val="740B2A1F"/>
    <w:rsid w:val="740D49E9"/>
    <w:rsid w:val="74566E86"/>
    <w:rsid w:val="76462308"/>
    <w:rsid w:val="772665FC"/>
    <w:rsid w:val="772B48E7"/>
    <w:rsid w:val="785C7CED"/>
    <w:rsid w:val="78610694"/>
    <w:rsid w:val="788A13BF"/>
    <w:rsid w:val="78A377B2"/>
    <w:rsid w:val="793A002E"/>
    <w:rsid w:val="797C2D3C"/>
    <w:rsid w:val="79E42D9A"/>
    <w:rsid w:val="7AAD7251"/>
    <w:rsid w:val="7ABC00E2"/>
    <w:rsid w:val="7B503B8C"/>
    <w:rsid w:val="7B727157"/>
    <w:rsid w:val="7BDB223D"/>
    <w:rsid w:val="7C081A90"/>
    <w:rsid w:val="7C2571BC"/>
    <w:rsid w:val="7CA15039"/>
    <w:rsid w:val="7CD54AA1"/>
    <w:rsid w:val="7D8D41BC"/>
    <w:rsid w:val="7E894D3F"/>
    <w:rsid w:val="7EA146AC"/>
    <w:rsid w:val="7F912972"/>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8"/>
    <w:autoRedefine/>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9"/>
    <w:autoRedefine/>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4"/>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5"/>
    <w:autoRedefine/>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6"/>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7"/>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8"/>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9"/>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ind w:left="1622" w:hanging="363"/>
    </w:pPr>
  </w:style>
  <w:style w:type="paragraph" w:styleId="13">
    <w:name w:val="caption"/>
    <w:basedOn w:val="1"/>
    <w:next w:val="1"/>
    <w:link w:val="31"/>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5"/>
    <w:autoRedefine/>
    <w:semiHidden/>
    <w:unhideWhenUsed/>
    <w:qFormat/>
    <w:uiPriority w:val="99"/>
    <w:pPr>
      <w:jc w:val="left"/>
    </w:pPr>
  </w:style>
  <w:style w:type="paragraph" w:styleId="15">
    <w:name w:val="Body Text"/>
    <w:basedOn w:val="1"/>
    <w:autoRedefine/>
    <w:qFormat/>
    <w:uiPriority w:val="0"/>
    <w:pPr>
      <w:adjustRightInd w:val="0"/>
      <w:snapToGrid w:val="0"/>
      <w:spacing w:line="360" w:lineRule="auto"/>
      <w:ind w:firstLine="420"/>
    </w:pPr>
    <w:rPr>
      <w:rFonts w:eastAsia="楷体"/>
      <w:snapToGrid w:val="0"/>
    </w:rPr>
  </w:style>
  <w:style w:type="paragraph" w:styleId="16">
    <w:name w:val="Balloon Text"/>
    <w:basedOn w:val="1"/>
    <w:link w:val="47"/>
    <w:autoRedefine/>
    <w:semiHidden/>
    <w:unhideWhenUsed/>
    <w:qFormat/>
    <w:uiPriority w:val="99"/>
    <w:rPr>
      <w:sz w:val="18"/>
      <w:szCs w:val="18"/>
    </w:rPr>
  </w:style>
  <w:style w:type="paragraph" w:styleId="17">
    <w:name w:val="footer"/>
    <w:basedOn w:val="1"/>
    <w:link w:val="44"/>
    <w:autoRedefine/>
    <w:unhideWhenUsed/>
    <w:qFormat/>
    <w:uiPriority w:val="99"/>
    <w:pPr>
      <w:tabs>
        <w:tab w:val="center" w:pos="4153"/>
        <w:tab w:val="right" w:pos="8306"/>
      </w:tabs>
      <w:snapToGrid w:val="0"/>
      <w:jc w:val="left"/>
    </w:pPr>
    <w:rPr>
      <w:sz w:val="18"/>
      <w:szCs w:val="18"/>
    </w:rPr>
  </w:style>
  <w:style w:type="paragraph" w:styleId="18">
    <w:name w:val="header"/>
    <w:basedOn w:val="1"/>
    <w:link w:val="4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List"/>
    <w:basedOn w:val="1"/>
    <w:autoRedefine/>
    <w:qFormat/>
    <w:uiPriority w:val="0"/>
    <w:pPr>
      <w:ind w:left="568" w:hanging="284"/>
    </w:pPr>
  </w:style>
  <w:style w:type="paragraph" w:styleId="20">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21">
    <w:name w:val="annotation subject"/>
    <w:basedOn w:val="14"/>
    <w:next w:val="14"/>
    <w:link w:val="46"/>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unhideWhenUsed/>
    <w:qFormat/>
    <w:uiPriority w:val="99"/>
    <w:rPr>
      <w:sz w:val="16"/>
      <w:szCs w:val="16"/>
    </w:rPr>
  </w:style>
  <w:style w:type="character" w:customStyle="1" w:styleId="26">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7">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8">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29">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0">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1">
    <w:name w:val="题注 字符"/>
    <w:link w:val="13"/>
    <w:autoRedefine/>
    <w:qFormat/>
    <w:locked/>
    <w:uiPriority w:val="35"/>
    <w:rPr>
      <w:rFonts w:ascii="Times New Roman" w:hAnsi="Times New Roman" w:eastAsia="Times New Roman" w:cs="Times New Roman"/>
      <w:b/>
      <w:bCs/>
      <w:kern w:val="0"/>
      <w:sz w:val="24"/>
      <w:szCs w:val="24"/>
      <w:lang w:eastAsia="en-US"/>
    </w:rPr>
  </w:style>
  <w:style w:type="paragraph" w:styleId="32">
    <w:name w:val="List Paragraph"/>
    <w:basedOn w:val="1"/>
    <w:link w:val="33"/>
    <w:autoRedefine/>
    <w:qFormat/>
    <w:uiPriority w:val="34"/>
    <w:pPr>
      <w:widowControl/>
      <w:ind w:left="720"/>
      <w:jc w:val="left"/>
    </w:pPr>
    <w:rPr>
      <w:rFonts w:ascii="Calibri" w:hAnsi="Calibri" w:eastAsia="Calibri" w:cs="Times New Roman"/>
      <w:kern w:val="0"/>
      <w:sz w:val="22"/>
      <w:lang w:eastAsia="en-US"/>
    </w:rPr>
  </w:style>
  <w:style w:type="character" w:customStyle="1" w:styleId="33">
    <w:name w:val="列出段落 字符"/>
    <w:link w:val="32"/>
    <w:autoRedefine/>
    <w:qFormat/>
    <w:locked/>
    <w:uiPriority w:val="34"/>
    <w:rPr>
      <w:rFonts w:ascii="Calibri" w:hAnsi="Calibri" w:eastAsia="Calibri" w:cs="Times New Roman"/>
      <w:kern w:val="0"/>
      <w:sz w:val="22"/>
      <w:lang w:eastAsia="en-US"/>
    </w:rPr>
  </w:style>
  <w:style w:type="character" w:customStyle="1" w:styleId="34">
    <w:name w:val="标题 4 字符"/>
    <w:basedOn w:val="24"/>
    <w:link w:val="7"/>
    <w:autoRedefine/>
    <w:qFormat/>
    <w:uiPriority w:val="0"/>
    <w:rPr>
      <w:rFonts w:ascii="Times New Roman" w:hAnsi="Times New Roman" w:eastAsia="MS Mincho" w:cs="Times New Roman"/>
      <w:b/>
      <w:bCs/>
      <w:kern w:val="0"/>
      <w:sz w:val="28"/>
      <w:szCs w:val="28"/>
      <w:lang w:eastAsia="en-US"/>
    </w:rPr>
  </w:style>
  <w:style w:type="character" w:customStyle="1" w:styleId="35">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6">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7">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8">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39">
    <w:name w:val="标题 9 字符"/>
    <w:basedOn w:val="24"/>
    <w:link w:val="12"/>
    <w:autoRedefine/>
    <w:qFormat/>
    <w:uiPriority w:val="0"/>
    <w:rPr>
      <w:rFonts w:ascii="Arial" w:hAnsi="Arial" w:eastAsia="黑体" w:cs="Times New Roman"/>
      <w:kern w:val="0"/>
      <w:szCs w:val="21"/>
      <w:lang w:eastAsia="en-US"/>
    </w:rPr>
  </w:style>
  <w:style w:type="paragraph" w:customStyle="1" w:styleId="40">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1">
    <w:name w:val="B1"/>
    <w:basedOn w:val="19"/>
    <w:autoRedefine/>
    <w:qFormat/>
    <w:uiPriority w:val="0"/>
  </w:style>
  <w:style w:type="paragraph" w:customStyle="1" w:styleId="42">
    <w:name w:val="NO"/>
    <w:basedOn w:val="1"/>
    <w:autoRedefine/>
    <w:qFormat/>
    <w:uiPriority w:val="0"/>
    <w:pPr>
      <w:keepLines/>
      <w:ind w:left="1135" w:hanging="851"/>
    </w:pPr>
  </w:style>
  <w:style w:type="character" w:customStyle="1" w:styleId="43">
    <w:name w:val="页眉 字符"/>
    <w:basedOn w:val="24"/>
    <w:link w:val="18"/>
    <w:autoRedefine/>
    <w:qFormat/>
    <w:uiPriority w:val="99"/>
    <w:rPr>
      <w:rFonts w:asciiTheme="minorHAnsi" w:hAnsiTheme="minorHAnsi" w:eastAsiaTheme="minorEastAsia" w:cstheme="minorBidi"/>
      <w:kern w:val="2"/>
      <w:sz w:val="18"/>
      <w:szCs w:val="18"/>
    </w:rPr>
  </w:style>
  <w:style w:type="character" w:customStyle="1" w:styleId="44">
    <w:name w:val="页脚 字符"/>
    <w:basedOn w:val="24"/>
    <w:link w:val="17"/>
    <w:autoRedefine/>
    <w:qFormat/>
    <w:uiPriority w:val="99"/>
    <w:rPr>
      <w:rFonts w:asciiTheme="minorHAnsi" w:hAnsiTheme="minorHAnsi" w:eastAsiaTheme="minorEastAsia" w:cstheme="minorBidi"/>
      <w:kern w:val="2"/>
      <w:sz w:val="18"/>
      <w:szCs w:val="18"/>
    </w:rPr>
  </w:style>
  <w:style w:type="character" w:customStyle="1" w:styleId="45">
    <w:name w:val="批注文字 字符"/>
    <w:basedOn w:val="24"/>
    <w:link w:val="14"/>
    <w:autoRedefine/>
    <w:semiHidden/>
    <w:qFormat/>
    <w:uiPriority w:val="99"/>
    <w:rPr>
      <w:rFonts w:asciiTheme="minorHAnsi" w:hAnsiTheme="minorHAnsi" w:eastAsiaTheme="minorEastAsia" w:cstheme="minorBidi"/>
      <w:kern w:val="2"/>
      <w:sz w:val="21"/>
      <w:szCs w:val="22"/>
    </w:rPr>
  </w:style>
  <w:style w:type="character" w:customStyle="1" w:styleId="46">
    <w:name w:val="批注主题 字符"/>
    <w:basedOn w:val="45"/>
    <w:link w:val="21"/>
    <w:autoRedefine/>
    <w:semiHidden/>
    <w:qFormat/>
    <w:uiPriority w:val="99"/>
    <w:rPr>
      <w:rFonts w:asciiTheme="minorHAnsi" w:hAnsiTheme="minorHAnsi" w:eastAsiaTheme="minorEastAsia" w:cstheme="minorBidi"/>
      <w:b/>
      <w:bCs/>
      <w:kern w:val="2"/>
      <w:sz w:val="21"/>
      <w:szCs w:val="22"/>
    </w:rPr>
  </w:style>
  <w:style w:type="character" w:customStyle="1" w:styleId="47">
    <w:name w:val="批注框文本 字符"/>
    <w:basedOn w:val="24"/>
    <w:link w:val="16"/>
    <w:autoRedefine/>
    <w:semiHidden/>
    <w:qFormat/>
    <w:uiPriority w:val="99"/>
    <w:rPr>
      <w:rFonts w:asciiTheme="minorHAnsi" w:hAnsiTheme="minorHAnsi" w:eastAsiaTheme="minorEastAsia" w:cstheme="minorBidi"/>
      <w:kern w:val="2"/>
      <w:sz w:val="18"/>
      <w:szCs w:val="18"/>
    </w:rPr>
  </w:style>
  <w:style w:type="paragraph" w:customStyle="1" w:styleId="48">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9">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0">
    <w:name w:val="Comments"/>
    <w:basedOn w:val="1"/>
    <w:autoRedefine/>
    <w:qFormat/>
    <w:uiPriority w:val="0"/>
    <w:rPr>
      <w:i/>
      <w:sz w:val="18"/>
    </w:rPr>
  </w:style>
  <w:style w:type="paragraph" w:customStyle="1" w:styleId="51">
    <w:name w:val="B2"/>
    <w:basedOn w:val="1"/>
    <w:autoRedefine/>
    <w:qFormat/>
    <w:uiPriority w:val="0"/>
    <w:pPr>
      <w:ind w:left="851" w:hanging="284"/>
    </w:pPr>
  </w:style>
  <w:style w:type="paragraph" w:customStyle="1" w:styleId="52">
    <w:name w:val="B3"/>
    <w:basedOn w:val="1"/>
    <w:autoRedefine/>
    <w:qFormat/>
    <w:uiPriority w:val="0"/>
    <w:pPr>
      <w:ind w:left="1135" w:hanging="284"/>
    </w:pPr>
  </w:style>
  <w:style w:type="paragraph" w:customStyle="1" w:styleId="53">
    <w:name w:val="Agreement"/>
    <w:basedOn w:val="1"/>
    <w:next w:val="6"/>
    <w:autoRedefine/>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829</Words>
  <Characters>4389</Characters>
  <Lines>36</Lines>
  <Paragraphs>10</Paragraphs>
  <TotalTime>0</TotalTime>
  <ScaleCrop>false</ScaleCrop>
  <LinksUpToDate>false</LinksUpToDate>
  <CharactersWithSpaces>5155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2024-05-10T07:07:28Z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17D3BA3AEEEB4F5A89C459EECEA78D97_13</vt:lpwstr>
  </property>
</Properties>
</file>